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D5" w:rsidRPr="008774D5" w:rsidRDefault="008774D5" w:rsidP="00D229DC">
      <w:pPr>
        <w:rPr>
          <w:rFonts w:ascii="ＭＳ Ｐゴシック" w:eastAsia="ＭＳ Ｐゴシック" w:hAnsi="ＭＳ Ｐゴシック" w:cs="ＭＳ Ｐゴシック"/>
          <w:b/>
          <w:bCs/>
          <w:color w:val="000080"/>
          <w:kern w:val="36"/>
          <w:sz w:val="24"/>
          <w:szCs w:val="24"/>
        </w:rPr>
      </w:pPr>
      <w:bookmarkStart w:id="0" w:name="TA000334406"/>
      <w:r w:rsidRPr="008774D5">
        <w:rPr>
          <w:rFonts w:ascii="ＭＳ Ｐゴシック" w:eastAsia="ＭＳ Ｐゴシック" w:hAnsi="ＭＳ Ｐゴシック" w:cs="ＭＳ Ｐゴシック"/>
          <w:b/>
          <w:bCs/>
          <w:color w:val="000080"/>
          <w:kern w:val="36"/>
          <w:sz w:val="24"/>
          <w:szCs w:val="24"/>
        </w:rPr>
        <w:t>平成27年度税制改正　相続税・贈与税関係のポイント</w:t>
      </w:r>
      <w:bookmarkEnd w:id="0"/>
      <w:r w:rsidR="00C52A98">
        <w:rPr>
          <w:rFonts w:ascii="ＭＳ Ｐゴシック" w:eastAsia="ＭＳ Ｐゴシック" w:hAnsi="ＭＳ Ｐゴシック" w:cs="ＭＳ Ｐゴシック" w:hint="eastAsia"/>
          <w:b/>
          <w:bCs/>
          <w:color w:val="000080"/>
          <w:kern w:val="36"/>
          <w:sz w:val="24"/>
          <w:szCs w:val="24"/>
        </w:rPr>
        <w:t xml:space="preserve">　　　</w:t>
      </w:r>
      <w:r w:rsidRPr="008774D5">
        <w:rPr>
          <w:rFonts w:ascii="ＭＳ Ｐゴシック" w:eastAsia="ＭＳ Ｐゴシック" w:hAnsi="ＭＳ Ｐゴシック" w:cs="ＭＳ Ｐゴシック"/>
          <w:b/>
          <w:bCs/>
          <w:color w:val="000080"/>
          <w:kern w:val="36"/>
          <w:sz w:val="24"/>
          <w:szCs w:val="24"/>
        </w:rPr>
        <w:t xml:space="preserve"> </w:t>
      </w:r>
      <w:r w:rsidR="00C52A98">
        <w:rPr>
          <w:rFonts w:ascii="ＭＳ Ｐゴシック" w:eastAsia="ＭＳ Ｐゴシック" w:hAnsi="ＭＳ Ｐゴシック" w:cs="ＭＳ Ｐゴシック" w:hint="eastAsia"/>
          <w:b/>
          <w:bCs/>
          <w:color w:val="000080"/>
          <w:kern w:val="36"/>
          <w:sz w:val="24"/>
          <w:szCs w:val="24"/>
        </w:rPr>
        <w:t>税務通信3344号</w:t>
      </w:r>
    </w:p>
    <w:p w:rsidR="00C52A98" w:rsidRDefault="00C52A98" w:rsidP="00D229DC">
      <w:pPr>
        <w:rPr>
          <w:rFonts w:ascii="ＭＳ Ｐゴシック" w:eastAsia="ＭＳ Ｐゴシック" w:hAnsi="ＭＳ Ｐゴシック" w:cs="ＭＳ Ｐゴシック" w:hint="eastAsia"/>
          <w:b/>
          <w:bCs/>
          <w:color w:val="FF1493"/>
          <w:kern w:val="0"/>
          <w:szCs w:val="21"/>
        </w:rPr>
      </w:pPr>
    </w:p>
    <w:p w:rsidR="008774D5" w:rsidRPr="008774D5" w:rsidRDefault="008774D5" w:rsidP="00D229DC">
      <w:pPr>
        <w:rPr>
          <w:rFonts w:ascii="ＭＳ Ｐゴシック" w:eastAsia="ＭＳ Ｐゴシック" w:hAnsi="ＭＳ Ｐゴシック" w:cs="ＭＳ Ｐゴシック"/>
          <w:b/>
          <w:bCs/>
          <w:color w:val="FF1493"/>
          <w:kern w:val="0"/>
          <w:szCs w:val="21"/>
        </w:rPr>
      </w:pPr>
      <w:r w:rsidRPr="008774D5">
        <w:rPr>
          <w:rFonts w:ascii="ＭＳ Ｐゴシック" w:eastAsia="ＭＳ Ｐゴシック" w:hAnsi="ＭＳ Ｐゴシック" w:cs="ＭＳ Ｐゴシック"/>
          <w:b/>
          <w:bCs/>
          <w:color w:val="FF1493"/>
          <w:kern w:val="0"/>
          <w:szCs w:val="21"/>
        </w:rPr>
        <w:t>住宅取得等資金特例の拡充や結婚・子育て資金の非課税措置を創設</w:t>
      </w:r>
    </w:p>
    <w:p w:rsidR="00C52A98" w:rsidRDefault="00C52A98" w:rsidP="00D229DC">
      <w:pPr>
        <w:rPr>
          <w:rFonts w:ascii="ＭＳ Ｐゴシック" w:eastAsia="ＭＳ Ｐゴシック" w:hAnsi="ＭＳ Ｐゴシック" w:cs="ＭＳ Ｐゴシック" w:hint="eastAsia"/>
          <w:kern w:val="0"/>
          <w:szCs w:val="21"/>
        </w:rPr>
      </w:pPr>
    </w:p>
    <w:p w:rsidR="008774D5" w:rsidRPr="008774D5" w:rsidRDefault="008774D5" w:rsidP="00C52A98">
      <w:pPr>
        <w:ind w:firstLineChars="100" w:firstLine="210"/>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平成27年1月1日から相続税では基礎控除額の引下げや最高税率の引上げが行われ，贈与税では税率構造が変更するほか，相続時精算課税の適用対象が拡大している。</w:t>
      </w:r>
    </w:p>
    <w:p w:rsidR="008774D5" w:rsidRDefault="008774D5" w:rsidP="00D229DC">
      <w:pPr>
        <w:rPr>
          <w:rFonts w:ascii="ＭＳ Ｐゴシック" w:eastAsia="ＭＳ Ｐゴシック" w:hAnsi="ＭＳ Ｐゴシック" w:cs="ＭＳ Ｐゴシック" w:hint="eastAsia"/>
          <w:kern w:val="0"/>
          <w:szCs w:val="21"/>
        </w:rPr>
      </w:pPr>
      <w:r w:rsidRPr="008774D5">
        <w:rPr>
          <w:rFonts w:ascii="ＭＳ Ｐゴシック" w:eastAsia="ＭＳ Ｐゴシック" w:hAnsi="ＭＳ Ｐゴシック" w:cs="ＭＳ Ｐゴシック"/>
          <w:kern w:val="0"/>
          <w:szCs w:val="21"/>
        </w:rPr>
        <w:t>平成27年度税制改正大綱では，相続税・贈与税について，高齢者層から若年層への資産の早期移転を通じた住宅市場の活性化を目的に住宅取得等資金の贈与税の非課税措置を拡充等するほか，少子高齢化の進展・人口減少への対応として，結婚・子育て資金の一括贈与に係る贈与税非課税措置が創設されることとなった。</w:t>
      </w:r>
    </w:p>
    <w:p w:rsidR="00C52A98" w:rsidRPr="008774D5" w:rsidRDefault="00C52A98" w:rsidP="00D229DC">
      <w:pPr>
        <w:rPr>
          <w:rFonts w:ascii="ＭＳ Ｐゴシック" w:eastAsia="ＭＳ Ｐゴシック" w:hAnsi="ＭＳ Ｐゴシック" w:cs="ＭＳ Ｐゴシック"/>
          <w:kern w:val="0"/>
          <w:szCs w:val="21"/>
        </w:rPr>
      </w:pPr>
    </w:p>
    <w:p w:rsidR="008774D5" w:rsidRPr="008774D5" w:rsidRDefault="00C52A98" w:rsidP="00D229DC">
      <w:pPr>
        <w:rPr>
          <w:rFonts w:ascii="ＭＳ Ｐゴシック" w:eastAsia="ＭＳ Ｐゴシック" w:hAnsi="ＭＳ Ｐゴシック" w:cs="ＭＳ Ｐゴシック"/>
          <w:b/>
          <w:bCs/>
          <w:color w:val="9400D3"/>
          <w:kern w:val="0"/>
          <w:sz w:val="24"/>
          <w:szCs w:val="24"/>
        </w:rPr>
      </w:pPr>
      <w:bookmarkStart w:id="1" w:name="TA0003344060101"/>
      <w:r>
        <w:rPr>
          <w:rFonts w:ascii="ＭＳ Ｐゴシック" w:eastAsia="ＭＳ Ｐゴシック" w:hAnsi="ＭＳ Ｐゴシック" w:cs="ＭＳ Ｐゴシック" w:hint="eastAsia"/>
          <w:b/>
          <w:bCs/>
          <w:color w:val="9400D3"/>
          <w:kern w:val="0"/>
          <w:sz w:val="24"/>
          <w:szCs w:val="24"/>
        </w:rPr>
        <w:t>1.</w:t>
      </w:r>
      <w:r w:rsidR="008774D5" w:rsidRPr="008774D5">
        <w:rPr>
          <w:rFonts w:ascii="ＭＳ Ｐゴシック" w:eastAsia="ＭＳ Ｐゴシック" w:hAnsi="ＭＳ Ｐゴシック" w:cs="ＭＳ Ｐゴシック"/>
          <w:b/>
          <w:bCs/>
          <w:color w:val="9400D3"/>
          <w:kern w:val="0"/>
          <w:sz w:val="24"/>
          <w:szCs w:val="24"/>
        </w:rPr>
        <w:t>住宅取得等資金の贈与税の非課税措置の拡充・延長</w:t>
      </w:r>
      <w:bookmarkEnd w:id="1"/>
      <w:r w:rsidR="008774D5" w:rsidRPr="008774D5">
        <w:rPr>
          <w:rFonts w:ascii="ＭＳ Ｐゴシック" w:eastAsia="ＭＳ Ｐゴシック" w:hAnsi="ＭＳ Ｐゴシック" w:cs="ＭＳ Ｐゴシック"/>
          <w:b/>
          <w:bCs/>
          <w:color w:val="9400D3"/>
          <w:kern w:val="0"/>
          <w:sz w:val="24"/>
          <w:szCs w:val="24"/>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平成26年12月31日までの間に父母や祖父母など直系尊属からの贈与で，居住用家屋の新築・取得・増改築等用の資金「住宅取得等資金」を取得した場合で，一定の要件を満たすときは，一定額について，贈与税が非課税となる。</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住宅市場の活性化のため，平成27年度税制改正大綱では，平成31年6月末まで適用期限を延長・拡充する。また，平成28年9月までにこの非課税措置を適用した場合でも，「消費税率10％適用者」枠で再度適用することができることとしてい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628"/>
        <w:gridCol w:w="1593"/>
        <w:gridCol w:w="1593"/>
        <w:gridCol w:w="1593"/>
        <w:gridCol w:w="1593"/>
      </w:tblGrid>
      <w:tr w:rsidR="008774D5" w:rsidRPr="008774D5" w:rsidTr="008774D5">
        <w:trPr>
          <w:tblCellSpacing w:w="0" w:type="dxa"/>
        </w:trPr>
        <w:tc>
          <w:tcPr>
            <w:tcW w:w="0" w:type="auto"/>
            <w:tcBorders>
              <w:top w:val="outset" w:sz="6" w:space="0" w:color="auto"/>
              <w:left w:val="outset" w:sz="6" w:space="0" w:color="auto"/>
              <w:bottom w:val="nil"/>
              <w:right w:val="outset" w:sz="6" w:space="0" w:color="auto"/>
            </w:tcBorders>
            <w:shd w:val="clear" w:color="auto" w:fill="CCFFCC"/>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区 分</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消費税率10％適用者※１</w:t>
            </w:r>
          </w:p>
        </w:tc>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それ以外の者※２</w:t>
            </w:r>
          </w:p>
        </w:tc>
      </w:tr>
      <w:tr w:rsidR="008774D5" w:rsidRPr="008774D5" w:rsidTr="008774D5">
        <w:trPr>
          <w:tblCellSpacing w:w="0" w:type="dxa"/>
        </w:trPr>
        <w:tc>
          <w:tcPr>
            <w:tcW w:w="0" w:type="auto"/>
            <w:tcBorders>
              <w:top w:val="nil"/>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br/>
              <w:t xml:space="preserve">対象期間 </w:t>
            </w:r>
          </w:p>
        </w:tc>
        <w:tc>
          <w:tcPr>
            <w:tcW w:w="1650" w:type="dxa"/>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耐震・エコ・バリアフリー住宅※３</w:t>
            </w:r>
          </w:p>
        </w:tc>
        <w:tc>
          <w:tcPr>
            <w:tcW w:w="1650" w:type="dxa"/>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一般住宅</w:t>
            </w:r>
          </w:p>
        </w:tc>
        <w:tc>
          <w:tcPr>
            <w:tcW w:w="1650" w:type="dxa"/>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耐震・エコ・バリアフリー住宅※３</w:t>
            </w:r>
          </w:p>
        </w:tc>
        <w:tc>
          <w:tcPr>
            <w:tcW w:w="1650" w:type="dxa"/>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一般住宅</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平成26年</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1,000万円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500万円</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平成27年</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1,500万円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1,000万円</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平成28年１月～９月</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1,200万円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700万円</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平成28年10月～29年９月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3,000万円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2,500万円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1,200万円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700万円</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平成29年10月～30年９月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1,500万円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1,000万円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1,000万円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500万円</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平成30年10月～31年６月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1,200万円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700万円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800万円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300万円</w:t>
            </w:r>
          </w:p>
        </w:tc>
      </w:tr>
    </w:tbl>
    <w:p w:rsidR="008774D5" w:rsidRPr="008774D5" w:rsidRDefault="008774D5" w:rsidP="00D229DC">
      <w:pPr>
        <w:rPr>
          <w:rFonts w:ascii="ＭＳ Ｐゴシック" w:eastAsia="ＭＳ Ｐゴシック" w:hAnsi="ＭＳ Ｐゴシック" w:cs="ＭＳ Ｐゴシック"/>
          <w:vanish/>
          <w:kern w:val="0"/>
          <w:sz w:val="24"/>
          <w:szCs w:val="24"/>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16"/>
        <w:gridCol w:w="8584"/>
      </w:tblGrid>
      <w:tr w:rsidR="008774D5" w:rsidRPr="008774D5" w:rsidTr="008774D5">
        <w:trPr>
          <w:tblCellSpacing w:w="0" w:type="dxa"/>
        </w:trPr>
        <w:tc>
          <w:tcPr>
            <w:tcW w:w="0" w:type="auto"/>
            <w:shd w:val="clear" w:color="auto" w:fill="FFFFFF"/>
            <w:noWrap/>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※１</w:t>
            </w:r>
          </w:p>
        </w:tc>
        <w:tc>
          <w:tcPr>
            <w:tcW w:w="0" w:type="auto"/>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 xml:space="preserve">　消費税率10％で住宅購入を契約した者</w:t>
            </w:r>
          </w:p>
        </w:tc>
      </w:tr>
      <w:tr w:rsidR="008774D5" w:rsidRPr="008774D5" w:rsidTr="008774D5">
        <w:trPr>
          <w:tblCellSpacing w:w="0" w:type="dxa"/>
        </w:trPr>
        <w:tc>
          <w:tcPr>
            <w:tcW w:w="0" w:type="auto"/>
            <w:shd w:val="clear" w:color="auto" w:fill="FFFFFF"/>
            <w:noWrap/>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※２</w:t>
            </w:r>
          </w:p>
        </w:tc>
        <w:tc>
          <w:tcPr>
            <w:tcW w:w="0" w:type="auto"/>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 xml:space="preserve">　消費税率８％で住宅購入を契約した者，個人間による売買で中古住宅購入を契約した者</w:t>
            </w:r>
          </w:p>
        </w:tc>
      </w:tr>
      <w:tr w:rsidR="008774D5" w:rsidRPr="008774D5" w:rsidTr="008774D5">
        <w:trPr>
          <w:tblCellSpacing w:w="0" w:type="dxa"/>
        </w:trPr>
        <w:tc>
          <w:tcPr>
            <w:tcW w:w="0" w:type="auto"/>
            <w:shd w:val="clear" w:color="auto" w:fill="FFFFFF"/>
            <w:noWrap/>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※３</w:t>
            </w:r>
          </w:p>
        </w:tc>
        <w:tc>
          <w:tcPr>
            <w:tcW w:w="0" w:type="auto"/>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 xml:space="preserve">　耐震住宅：耐震等級２以上または免震建築物に該当する住宅 </w:t>
            </w:r>
            <w:r w:rsidRPr="008774D5">
              <w:rPr>
                <w:rFonts w:ascii="ＭＳ Ｐゴシック" w:eastAsia="ＭＳ Ｐゴシック" w:hAnsi="ＭＳ Ｐゴシック" w:cs="ＭＳ Ｐゴシック"/>
                <w:color w:val="333333"/>
                <w:kern w:val="0"/>
                <w:szCs w:val="21"/>
              </w:rPr>
              <w:br/>
              <w:t xml:space="preserve">　エコ住宅：省エネ等級４または一次エネルギー消費量等級４以上（27年～）の住宅 </w:t>
            </w:r>
            <w:r w:rsidRPr="008774D5">
              <w:rPr>
                <w:rFonts w:ascii="ＭＳ Ｐゴシック" w:eastAsia="ＭＳ Ｐゴシック" w:hAnsi="ＭＳ Ｐゴシック" w:cs="ＭＳ Ｐゴシック"/>
                <w:color w:val="333333"/>
                <w:kern w:val="0"/>
                <w:szCs w:val="21"/>
              </w:rPr>
              <w:br/>
              <w:t xml:space="preserve">　バリアフリー住宅（27年～）：高齢者等配慮対策等級</w:t>
            </w:r>
            <w:bookmarkStart w:id="2" w:name="_GoBack"/>
            <w:bookmarkEnd w:id="2"/>
            <w:r w:rsidRPr="008774D5">
              <w:rPr>
                <w:rFonts w:ascii="ＭＳ Ｐゴシック" w:eastAsia="ＭＳ Ｐゴシック" w:hAnsi="ＭＳ Ｐゴシック" w:cs="ＭＳ Ｐゴシック"/>
                <w:color w:val="333333"/>
                <w:kern w:val="0"/>
                <w:szCs w:val="21"/>
              </w:rPr>
              <w:t xml:space="preserve">３以上の住宅 </w:t>
            </w:r>
          </w:p>
        </w:tc>
      </w:tr>
    </w:tbl>
    <w:p w:rsidR="008774D5" w:rsidRPr="008774D5" w:rsidRDefault="00C52A98" w:rsidP="00D229DC">
      <w:pPr>
        <w:rPr>
          <w:rFonts w:ascii="ＭＳ Ｐゴシック" w:eastAsia="ＭＳ Ｐゴシック" w:hAnsi="ＭＳ Ｐゴシック" w:cs="ＭＳ Ｐゴシック"/>
          <w:b/>
          <w:bCs/>
          <w:color w:val="9400D3"/>
          <w:kern w:val="0"/>
          <w:sz w:val="24"/>
          <w:szCs w:val="24"/>
        </w:rPr>
      </w:pPr>
      <w:bookmarkStart w:id="3" w:name="TA0003344060102"/>
      <w:r>
        <w:rPr>
          <w:rFonts w:ascii="ＭＳ Ｐゴシック" w:eastAsia="ＭＳ Ｐゴシック" w:hAnsi="ＭＳ Ｐゴシック" w:cs="ＭＳ Ｐゴシック" w:hint="eastAsia"/>
          <w:b/>
          <w:bCs/>
          <w:color w:val="9400D3"/>
          <w:kern w:val="0"/>
          <w:sz w:val="24"/>
          <w:szCs w:val="24"/>
        </w:rPr>
        <w:lastRenderedPageBreak/>
        <w:t>2.</w:t>
      </w:r>
      <w:r w:rsidR="008774D5" w:rsidRPr="008774D5">
        <w:rPr>
          <w:rFonts w:ascii="ＭＳ Ｐゴシック" w:eastAsia="ＭＳ Ｐゴシック" w:hAnsi="ＭＳ Ｐゴシック" w:cs="ＭＳ Ｐゴシック"/>
          <w:b/>
          <w:bCs/>
          <w:color w:val="9400D3"/>
          <w:kern w:val="0"/>
          <w:sz w:val="24"/>
          <w:szCs w:val="24"/>
        </w:rPr>
        <w:t>結婚・子育て資金の一括贈与に係る贈与税非課税措置の創設</w:t>
      </w:r>
      <w:bookmarkEnd w:id="3"/>
      <w:r w:rsidR="008774D5" w:rsidRPr="008774D5">
        <w:rPr>
          <w:rFonts w:ascii="ＭＳ Ｐゴシック" w:eastAsia="ＭＳ Ｐゴシック" w:hAnsi="ＭＳ Ｐゴシック" w:cs="ＭＳ Ｐゴシック"/>
          <w:b/>
          <w:bCs/>
          <w:color w:val="9400D3"/>
          <w:kern w:val="0"/>
          <w:sz w:val="24"/>
          <w:szCs w:val="24"/>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祖父母や両親の資産を早期に移転することを通じて，子や孫の結婚・出産・育児を後押しするため，これらに要する資金の一括贈与に係る非課税措置を創設。</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69"/>
        <w:gridCol w:w="7031"/>
      </w:tblGrid>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受贈者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20歳以上50歳未満</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贈与者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直系尊属（受贈者の親・祖父母）</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金銭等の拠出先</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金融機関の受贈者名義の口座</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金銭等の使用目的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受贈者の結婚・子育て資金</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非課税限度額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受贈者１人毎に1,000万円。結婚関係の支出分は300万円まで</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結婚・子育て資金</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挙式費用・新居の住居費・引越費用・不妊治療費・出産費用・産後ケア費用・子の医療費・子の保育費</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拠出期限</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平成27年４月１日から平成31年３月31日までの間の拠出</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申告方法</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受贈者がこの非課税措置の適用に係る申告書を金融機関に提出（金融機関が納税地の所轄税務署長に提出）</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拠出の確認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受贈者が結婚・子育て資金用の支出を証する書類を金融機関に提出</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noWrap/>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口座に係る契約終了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①受贈者が50歳に達した場合，②受贈者が死亡した場合，③信託財産等の価額が零となった場合において終了の合意があったとき</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契約終了時の残額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使い残しがある場合は，その使い残しについて贈与税課税。受贈者死亡の場合は贈与税非課税</w:t>
            </w:r>
          </w:p>
        </w:tc>
      </w:tr>
      <w:tr w:rsidR="008774D5" w:rsidRPr="008774D5" w:rsidTr="008774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贈与者の死亡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74D5" w:rsidRPr="008774D5" w:rsidRDefault="008774D5" w:rsidP="00D229DC">
            <w:pPr>
              <w:rPr>
                <w:rFonts w:ascii="ＭＳ Ｐゴシック" w:eastAsia="ＭＳ Ｐゴシック" w:hAnsi="ＭＳ Ｐゴシック" w:cs="ＭＳ Ｐゴシック"/>
                <w:color w:val="333333"/>
                <w:kern w:val="0"/>
                <w:szCs w:val="21"/>
              </w:rPr>
            </w:pPr>
            <w:r w:rsidRPr="008774D5">
              <w:rPr>
                <w:rFonts w:ascii="ＭＳ Ｐゴシック" w:eastAsia="ＭＳ Ｐゴシック" w:hAnsi="ＭＳ Ｐゴシック" w:cs="ＭＳ Ｐゴシック"/>
                <w:color w:val="333333"/>
                <w:kern w:val="0"/>
                <w:szCs w:val="21"/>
              </w:rPr>
              <w:t>口座に係る契約途中に贈与者が死亡した場合，金銭等の拠出額から結婚・子育て資金の支出額を控除した残額について相続財産に加算（２割加算については対象外）</w:t>
            </w:r>
          </w:p>
        </w:tc>
      </w:tr>
    </w:tbl>
    <w:p w:rsidR="00C52A98" w:rsidRDefault="00C52A98" w:rsidP="00D229DC">
      <w:pPr>
        <w:rPr>
          <w:rFonts w:ascii="ＭＳ Ｐゴシック" w:eastAsia="ＭＳ Ｐゴシック" w:hAnsi="ＭＳ Ｐゴシック" w:cs="ＭＳ Ｐゴシック" w:hint="eastAsia"/>
          <w:b/>
          <w:bCs/>
          <w:color w:val="9400D3"/>
          <w:kern w:val="0"/>
          <w:sz w:val="24"/>
          <w:szCs w:val="24"/>
        </w:rPr>
      </w:pPr>
      <w:bookmarkStart w:id="4" w:name="TA0003344060103"/>
    </w:p>
    <w:p w:rsidR="008774D5" w:rsidRPr="008774D5" w:rsidRDefault="00C52A98" w:rsidP="00D229DC">
      <w:pPr>
        <w:rPr>
          <w:rFonts w:ascii="ＭＳ Ｐゴシック" w:eastAsia="ＭＳ Ｐゴシック" w:hAnsi="ＭＳ Ｐゴシック" w:cs="ＭＳ Ｐゴシック"/>
          <w:b/>
          <w:bCs/>
          <w:color w:val="9400D3"/>
          <w:kern w:val="0"/>
          <w:sz w:val="24"/>
          <w:szCs w:val="24"/>
        </w:rPr>
      </w:pPr>
      <w:r>
        <w:rPr>
          <w:rFonts w:ascii="ＭＳ Ｐゴシック" w:eastAsia="ＭＳ Ｐゴシック" w:hAnsi="ＭＳ Ｐゴシック" w:cs="ＭＳ Ｐゴシック" w:hint="eastAsia"/>
          <w:b/>
          <w:bCs/>
          <w:color w:val="9400D3"/>
          <w:kern w:val="0"/>
          <w:sz w:val="24"/>
          <w:szCs w:val="24"/>
        </w:rPr>
        <w:t>3.</w:t>
      </w:r>
      <w:r w:rsidR="008774D5" w:rsidRPr="008774D5">
        <w:rPr>
          <w:rFonts w:ascii="ＭＳ Ｐゴシック" w:eastAsia="ＭＳ Ｐゴシック" w:hAnsi="ＭＳ Ｐゴシック" w:cs="ＭＳ Ｐゴシック"/>
          <w:b/>
          <w:bCs/>
          <w:color w:val="9400D3"/>
          <w:kern w:val="0"/>
          <w:sz w:val="24"/>
          <w:szCs w:val="24"/>
        </w:rPr>
        <w:t>直系尊属から教育資金の一括贈与を受けた場合の贈与税の非課税措置の延長・拡充</w:t>
      </w:r>
      <w:bookmarkEnd w:id="4"/>
      <w:r w:rsidR="008774D5" w:rsidRPr="008774D5">
        <w:rPr>
          <w:rFonts w:ascii="ＭＳ Ｐゴシック" w:eastAsia="ＭＳ Ｐゴシック" w:hAnsi="ＭＳ Ｐゴシック" w:cs="ＭＳ Ｐゴシック"/>
          <w:b/>
          <w:bCs/>
          <w:color w:val="9400D3"/>
          <w:kern w:val="0"/>
          <w:sz w:val="24"/>
          <w:szCs w:val="24"/>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贈与者が，受贈者名義の教育資金口座に，教育資金を一括して拠出した場合，この資金について，子・孫ごとに1,500万円までを非課税とするもの（学校等以外に支払う金銭については，500万円を限度。未使用残額は贈与税課税）。</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教育資金には，入学金，授業料，入園料，保育料や学用品購入費，学校給食費などの費用が該当する。</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b/>
          <w:bCs/>
          <w:kern w:val="0"/>
          <w:szCs w:val="21"/>
          <w:bdr w:val="single" w:sz="6" w:space="2" w:color="auto" w:frame="1"/>
        </w:rPr>
        <w:t>主な改正内容</w:t>
      </w:r>
      <w:r w:rsidRPr="008774D5">
        <w:rPr>
          <w:rFonts w:ascii="ＭＳ Ｐゴシック" w:eastAsia="ＭＳ Ｐゴシック" w:hAnsi="ＭＳ Ｐゴシック" w:cs="ＭＳ Ｐゴシック"/>
          <w:kern w:val="0"/>
          <w:szCs w:val="21"/>
          <w:bdr w:val="single" w:sz="6" w:space="2" w:color="auto" w:frame="1"/>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b/>
          <w:bCs/>
          <w:kern w:val="0"/>
          <w:szCs w:val="21"/>
        </w:rPr>
        <w:t>①適用期限</w:t>
      </w:r>
      <w:r w:rsidRPr="008774D5">
        <w:rPr>
          <w:rFonts w:ascii="ＭＳ Ｐゴシック" w:eastAsia="ＭＳ Ｐゴシック" w:hAnsi="ＭＳ Ｐゴシック" w:cs="ＭＳ Ｐゴシック"/>
          <w:kern w:val="0"/>
          <w:szCs w:val="21"/>
        </w:rPr>
        <w:t xml:space="preserve"> ：平成31年3月31日まで延長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b/>
          <w:bCs/>
          <w:kern w:val="0"/>
          <w:szCs w:val="21"/>
        </w:rPr>
        <w:lastRenderedPageBreak/>
        <w:t>②対象範囲</w:t>
      </w:r>
      <w:r w:rsidRPr="008774D5">
        <w:rPr>
          <w:rFonts w:ascii="ＭＳ Ｐゴシック" w:eastAsia="ＭＳ Ｐゴシック" w:hAnsi="ＭＳ Ｐゴシック" w:cs="ＭＳ Ｐゴシック"/>
          <w:kern w:val="0"/>
          <w:szCs w:val="21"/>
        </w:rPr>
        <w:t xml:space="preserve"> ：通学定期券代，留学渡航費等を教育資金の対象に追加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b/>
          <w:bCs/>
          <w:kern w:val="0"/>
          <w:szCs w:val="21"/>
        </w:rPr>
        <w:t>③手続の簡素化</w:t>
      </w:r>
      <w:r w:rsidRPr="008774D5">
        <w:rPr>
          <w:rFonts w:ascii="ＭＳ Ｐゴシック" w:eastAsia="ＭＳ Ｐゴシック" w:hAnsi="ＭＳ Ｐゴシック" w:cs="ＭＳ Ｐゴシック"/>
          <w:kern w:val="0"/>
          <w:szCs w:val="21"/>
        </w:rPr>
        <w:t xml:space="preserve"> ：金融機関への領収書等の提出について，領収書等の記載金額が1万円以下，かつ年間支払金額24万円までのものは支払先・金額等を記載した明細書とすることが可能（平成28年以後の提出分から） </w:t>
      </w:r>
    </w:p>
    <w:p w:rsidR="00C52A98" w:rsidRDefault="00C52A98" w:rsidP="00D229DC">
      <w:pPr>
        <w:rPr>
          <w:rFonts w:ascii="ＭＳ Ｐゴシック" w:eastAsia="ＭＳ Ｐゴシック" w:hAnsi="ＭＳ Ｐゴシック" w:cs="ＭＳ Ｐゴシック" w:hint="eastAsia"/>
          <w:b/>
          <w:bCs/>
          <w:color w:val="9400D3"/>
          <w:kern w:val="0"/>
          <w:sz w:val="24"/>
          <w:szCs w:val="24"/>
        </w:rPr>
      </w:pPr>
      <w:bookmarkStart w:id="5" w:name="TA0003344060104"/>
    </w:p>
    <w:p w:rsidR="008774D5" w:rsidRPr="008774D5" w:rsidRDefault="00C52A98" w:rsidP="00D229DC">
      <w:pPr>
        <w:rPr>
          <w:rFonts w:ascii="ＭＳ Ｐゴシック" w:eastAsia="ＭＳ Ｐゴシック" w:hAnsi="ＭＳ Ｐゴシック" w:cs="ＭＳ Ｐゴシック"/>
          <w:b/>
          <w:bCs/>
          <w:color w:val="9400D3"/>
          <w:kern w:val="0"/>
          <w:sz w:val="24"/>
          <w:szCs w:val="24"/>
        </w:rPr>
      </w:pPr>
      <w:r>
        <w:rPr>
          <w:rFonts w:ascii="ＭＳ Ｐゴシック" w:eastAsia="ＭＳ Ｐゴシック" w:hAnsi="ＭＳ Ｐゴシック" w:cs="ＭＳ Ｐゴシック" w:hint="eastAsia"/>
          <w:b/>
          <w:bCs/>
          <w:color w:val="9400D3"/>
          <w:kern w:val="0"/>
          <w:sz w:val="24"/>
          <w:szCs w:val="24"/>
        </w:rPr>
        <w:t>4.</w:t>
      </w:r>
      <w:r w:rsidR="008774D5" w:rsidRPr="008774D5">
        <w:rPr>
          <w:rFonts w:ascii="ＭＳ Ｐゴシック" w:eastAsia="ＭＳ Ｐゴシック" w:hAnsi="ＭＳ Ｐゴシック" w:cs="ＭＳ Ｐゴシック"/>
          <w:b/>
          <w:bCs/>
          <w:color w:val="9400D3"/>
          <w:kern w:val="0"/>
          <w:sz w:val="24"/>
          <w:szCs w:val="24"/>
        </w:rPr>
        <w:t>事業承継税制（非上場株式等に係る贈与税の納税猶予制度）</w:t>
      </w:r>
      <w:bookmarkEnd w:id="5"/>
      <w:r w:rsidR="008774D5" w:rsidRPr="008774D5">
        <w:rPr>
          <w:rFonts w:ascii="ＭＳ Ｐゴシック" w:eastAsia="ＭＳ Ｐゴシック" w:hAnsi="ＭＳ Ｐゴシック" w:cs="ＭＳ Ｐゴシック"/>
          <w:b/>
          <w:bCs/>
          <w:color w:val="9400D3"/>
          <w:kern w:val="0"/>
          <w:sz w:val="24"/>
          <w:szCs w:val="24"/>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後継者である受贈者「経営承継受贈者」が，贈与により，経済産業大臣の認定を受ける非上場会社の株式等を先代経営者である贈与者から一定数以上取得し，その会社を経営していく場合には，その経営承継受贈者が納付すべき贈与税のうち，その非上場株式等（発行済議決権株式総数の2/3まで）に対応する贈与税の納税が猶予される。</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b/>
          <w:bCs/>
          <w:kern w:val="0"/>
          <w:szCs w:val="21"/>
          <w:bdr w:val="single" w:sz="6" w:space="2" w:color="auto" w:frame="1"/>
        </w:rPr>
        <w:t>主な改正内容</w:t>
      </w:r>
      <w:r w:rsidRPr="008774D5">
        <w:rPr>
          <w:rFonts w:ascii="ＭＳ Ｐゴシック" w:eastAsia="ＭＳ Ｐゴシック" w:hAnsi="ＭＳ Ｐゴシック" w:cs="ＭＳ Ｐゴシック"/>
          <w:kern w:val="0"/>
          <w:szCs w:val="21"/>
          <w:bdr w:val="single" w:sz="6" w:space="2" w:color="auto" w:frame="1"/>
        </w:rPr>
        <w:t xml:space="preserve"> </w:t>
      </w:r>
    </w:p>
    <w:p w:rsidR="008774D5" w:rsidRPr="008774D5" w:rsidRDefault="008774D5" w:rsidP="00D229DC">
      <w:pPr>
        <w:rPr>
          <w:rFonts w:ascii="ＭＳ Ｐゴシック" w:eastAsia="ＭＳ Ｐゴシック" w:hAnsi="ＭＳ Ｐゴシック" w:cs="ＭＳ Ｐゴシック"/>
          <w:kern w:val="0"/>
          <w:szCs w:val="21"/>
        </w:rPr>
      </w:pPr>
      <w:r w:rsidRPr="008774D5">
        <w:rPr>
          <w:rFonts w:ascii="ＭＳ Ｐゴシック" w:eastAsia="ＭＳ Ｐゴシック" w:hAnsi="ＭＳ Ｐゴシック" w:cs="ＭＳ Ｐゴシック"/>
          <w:kern w:val="0"/>
          <w:szCs w:val="21"/>
        </w:rPr>
        <w:t>経営贈与承継期間経過後（贈与税の申告期限の翌日以後5年経過後）に，経営承継受贈者が次の後継者にその非上場株式等を贈与した場合，その次の後継者がその非上場株式等に係る贈与税の納税猶予制度の適用を受けるときは，猶予税額が免除される。</w:t>
      </w:r>
    </w:p>
    <w:p w:rsidR="00600BCB" w:rsidRPr="008774D5" w:rsidRDefault="00600BCB" w:rsidP="00D229DC"/>
    <w:sectPr w:rsidR="00600BCB" w:rsidRPr="008774D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31" w:rsidRDefault="00785531" w:rsidP="00C52A98">
      <w:r>
        <w:separator/>
      </w:r>
    </w:p>
  </w:endnote>
  <w:endnote w:type="continuationSeparator" w:id="0">
    <w:p w:rsidR="00785531" w:rsidRDefault="00785531" w:rsidP="00C5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0960"/>
      <w:docPartObj>
        <w:docPartGallery w:val="Page Numbers (Bottom of Page)"/>
        <w:docPartUnique/>
      </w:docPartObj>
    </w:sdtPr>
    <w:sdtContent>
      <w:p w:rsidR="00C52A98" w:rsidRDefault="00C52A98">
        <w:pPr>
          <w:pStyle w:val="a5"/>
          <w:jc w:val="center"/>
        </w:pPr>
        <w:r>
          <w:fldChar w:fldCharType="begin"/>
        </w:r>
        <w:r>
          <w:instrText>PAGE   \* MERGEFORMAT</w:instrText>
        </w:r>
        <w:r>
          <w:fldChar w:fldCharType="separate"/>
        </w:r>
        <w:r w:rsidRPr="00C52A98">
          <w:rPr>
            <w:noProof/>
            <w:lang w:val="ja-JP"/>
          </w:rPr>
          <w:t>2</w:t>
        </w:r>
        <w:r>
          <w:fldChar w:fldCharType="end"/>
        </w:r>
      </w:p>
    </w:sdtContent>
  </w:sdt>
  <w:p w:rsidR="00C52A98" w:rsidRDefault="00C52A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31" w:rsidRDefault="00785531" w:rsidP="00C52A98">
      <w:r>
        <w:separator/>
      </w:r>
    </w:p>
  </w:footnote>
  <w:footnote w:type="continuationSeparator" w:id="0">
    <w:p w:rsidR="00785531" w:rsidRDefault="00785531" w:rsidP="00C52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78"/>
    <w:rsid w:val="00067A3A"/>
    <w:rsid w:val="004A7078"/>
    <w:rsid w:val="00600BCB"/>
    <w:rsid w:val="006A3EFF"/>
    <w:rsid w:val="00785531"/>
    <w:rsid w:val="008774D5"/>
    <w:rsid w:val="00C52A98"/>
    <w:rsid w:val="00D2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52A98"/>
    <w:pPr>
      <w:tabs>
        <w:tab w:val="center" w:pos="4252"/>
        <w:tab w:val="right" w:pos="8504"/>
      </w:tabs>
      <w:snapToGrid w:val="0"/>
    </w:pPr>
  </w:style>
  <w:style w:type="character" w:customStyle="1" w:styleId="a4">
    <w:name w:val="ヘッダー (文字)"/>
    <w:basedOn w:val="a0"/>
    <w:link w:val="a3"/>
    <w:uiPriority w:val="99"/>
    <w:rsid w:val="00C52A98"/>
  </w:style>
  <w:style w:type="paragraph" w:styleId="a5">
    <w:name w:val="footer"/>
    <w:basedOn w:val="a"/>
    <w:link w:val="a6"/>
    <w:uiPriority w:val="99"/>
    <w:unhideWhenUsed/>
    <w:rsid w:val="00C52A98"/>
    <w:pPr>
      <w:tabs>
        <w:tab w:val="center" w:pos="4252"/>
        <w:tab w:val="right" w:pos="8504"/>
      </w:tabs>
      <w:snapToGrid w:val="0"/>
    </w:pPr>
  </w:style>
  <w:style w:type="character" w:customStyle="1" w:styleId="a6">
    <w:name w:val="フッター (文字)"/>
    <w:basedOn w:val="a0"/>
    <w:link w:val="a5"/>
    <w:uiPriority w:val="99"/>
    <w:rsid w:val="00C52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header"/>
    <w:basedOn w:val="a"/>
    <w:link w:val="a4"/>
    <w:uiPriority w:val="99"/>
    <w:unhideWhenUsed/>
    <w:rsid w:val="00C52A98"/>
    <w:pPr>
      <w:tabs>
        <w:tab w:val="center" w:pos="4252"/>
        <w:tab w:val="right" w:pos="8504"/>
      </w:tabs>
      <w:snapToGrid w:val="0"/>
    </w:pPr>
  </w:style>
  <w:style w:type="character" w:customStyle="1" w:styleId="a4">
    <w:name w:val="ヘッダー (文字)"/>
    <w:basedOn w:val="a0"/>
    <w:link w:val="a3"/>
    <w:uiPriority w:val="99"/>
    <w:rsid w:val="00C52A98"/>
  </w:style>
  <w:style w:type="paragraph" w:styleId="a5">
    <w:name w:val="footer"/>
    <w:basedOn w:val="a"/>
    <w:link w:val="a6"/>
    <w:uiPriority w:val="99"/>
    <w:unhideWhenUsed/>
    <w:rsid w:val="00C52A98"/>
    <w:pPr>
      <w:tabs>
        <w:tab w:val="center" w:pos="4252"/>
        <w:tab w:val="right" w:pos="8504"/>
      </w:tabs>
      <w:snapToGrid w:val="0"/>
    </w:pPr>
  </w:style>
  <w:style w:type="character" w:customStyle="1" w:styleId="a6">
    <w:name w:val="フッター (文字)"/>
    <w:basedOn w:val="a0"/>
    <w:link w:val="a5"/>
    <w:uiPriority w:val="99"/>
    <w:rsid w:val="00C5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1220">
      <w:bodyDiv w:val="1"/>
      <w:marLeft w:val="0"/>
      <w:marRight w:val="0"/>
      <w:marTop w:val="0"/>
      <w:marBottom w:val="0"/>
      <w:divBdr>
        <w:top w:val="none" w:sz="0" w:space="0" w:color="auto"/>
        <w:left w:val="none" w:sz="0" w:space="0" w:color="auto"/>
        <w:bottom w:val="none" w:sz="0" w:space="0" w:color="auto"/>
        <w:right w:val="none" w:sz="0" w:space="0" w:color="auto"/>
      </w:divBdr>
      <w:divsChild>
        <w:div w:id="2053533681">
          <w:marLeft w:val="0"/>
          <w:marRight w:val="0"/>
          <w:marTop w:val="0"/>
          <w:marBottom w:val="0"/>
          <w:divBdr>
            <w:top w:val="none" w:sz="0" w:space="0" w:color="auto"/>
            <w:left w:val="none" w:sz="0" w:space="0" w:color="auto"/>
            <w:bottom w:val="none" w:sz="0" w:space="0" w:color="auto"/>
            <w:right w:val="none" w:sz="0" w:space="0" w:color="auto"/>
          </w:divBdr>
          <w:divsChild>
            <w:div w:id="808985337">
              <w:marLeft w:val="75"/>
              <w:marRight w:val="75"/>
              <w:marTop w:val="75"/>
              <w:marBottom w:val="75"/>
              <w:divBdr>
                <w:top w:val="none" w:sz="0" w:space="0" w:color="auto"/>
                <w:left w:val="none" w:sz="0" w:space="0" w:color="auto"/>
                <w:bottom w:val="none" w:sz="0" w:space="0" w:color="auto"/>
                <w:right w:val="none" w:sz="0" w:space="0" w:color="auto"/>
              </w:divBdr>
            </w:div>
            <w:div w:id="1215581689">
              <w:marLeft w:val="75"/>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7D74-444C-4AA0-8F3F-7E5BFA70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9</cp:revision>
  <dcterms:created xsi:type="dcterms:W3CDTF">2015-01-19T10:40:00Z</dcterms:created>
  <dcterms:modified xsi:type="dcterms:W3CDTF">2015-01-29T05:35:00Z</dcterms:modified>
</cp:coreProperties>
</file>